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3FAB524" w:rsidR="00202E2D" w:rsidRDefault="00E772C5" w:rsidP="00202E2D">
      <w:pPr>
        <w:rPr>
          <w:rFonts w:ascii="Arial" w:hAnsi="Arial" w:cs="Arial"/>
          <w:b/>
          <w:sz w:val="28"/>
          <w:szCs w:val="28"/>
        </w:rPr>
      </w:pPr>
      <w:r>
        <w:rPr>
          <w:rFonts w:ascii="Arial" w:hAnsi="Arial" w:cs="Arial"/>
          <w:b/>
          <w:sz w:val="28"/>
          <w:szCs w:val="28"/>
        </w:rPr>
        <w:t xml:space="preserve">DEBENHAM PARISH COUNCIL </w:t>
      </w:r>
      <w:r w:rsidR="00CF71B2">
        <w:rPr>
          <w:rFonts w:ascii="Arial" w:hAnsi="Arial" w:cs="Arial"/>
          <w:b/>
          <w:sz w:val="28"/>
          <w:szCs w:val="28"/>
        </w:rPr>
        <w:t>EQUALITY AND DIVERSITY</w:t>
      </w:r>
      <w:r w:rsidR="00CD367E">
        <w:rPr>
          <w:rFonts w:ascii="Arial" w:hAnsi="Arial" w:cs="Arial"/>
          <w:b/>
          <w:sz w:val="28"/>
          <w:szCs w:val="28"/>
        </w:rPr>
        <w:t xml:space="preserve"> POLICY</w:t>
      </w:r>
      <w:r>
        <w:rPr>
          <w:rFonts w:ascii="Arial" w:hAnsi="Arial" w:cs="Arial"/>
          <w:b/>
          <w:sz w:val="28"/>
          <w:szCs w:val="28"/>
        </w:rPr>
        <w:t xml:space="preserve"> 2020</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68F6755C" w:rsidR="004920B7" w:rsidRDefault="004920B7" w:rsidP="004920B7">
      <w:pPr>
        <w:rPr>
          <w:rFonts w:ascii="Arial" w:hAnsi="Arial" w:cs="Arial"/>
          <w:b/>
          <w:bCs/>
        </w:rPr>
      </w:pPr>
      <w:r w:rsidRPr="004920B7">
        <w:rPr>
          <w:rFonts w:ascii="Arial" w:hAnsi="Arial" w:cs="Arial"/>
        </w:rPr>
        <w:t>The council will provide training in</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equal opportunities to those likely to be involved in recruitment or other decision making where equal opportunities issues are likely to arise.</w:t>
      </w:r>
    </w:p>
    <w:p w14:paraId="54229A22" w14:textId="48E0662E" w:rsidR="004920B7" w:rsidRDefault="004920B7" w:rsidP="004920B7">
      <w:pPr>
        <w:rPr>
          <w:rFonts w:ascii="Arial" w:hAnsi="Arial" w:cs="Arial"/>
          <w:b/>
          <w:bCs/>
        </w:rPr>
      </w:pPr>
      <w:r w:rsidRPr="004920B7">
        <w:rPr>
          <w:rFonts w:ascii="Arial" w:hAnsi="Arial" w:cs="Arial"/>
        </w:rPr>
        <w:t>The council will provide training to</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7F7E49D6" w:rsidR="004920B7" w:rsidRDefault="004920B7" w:rsidP="00E772C5">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14:paraId="2AE38C88" w14:textId="77777777" w:rsidR="00E772C5" w:rsidRDefault="00E772C5" w:rsidP="00E772C5">
      <w:pPr>
        <w:rPr>
          <w:rFonts w:ascii="Arial" w:hAnsi="Arial" w:cs="Arial"/>
        </w:rPr>
      </w:pP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693058F" w:rsidR="00DD71A4" w:rsidRDefault="00DD71A4" w:rsidP="00A00292">
      <w:pPr>
        <w:rPr>
          <w:rFonts w:ascii="Arial" w:hAnsi="Arial" w:cs="Arial"/>
          <w:b/>
          <w:bCs/>
        </w:rPr>
      </w:pPr>
    </w:p>
    <w:p w14:paraId="01493C15" w14:textId="7192B24A" w:rsidR="00E772C5" w:rsidRDefault="00E772C5" w:rsidP="00A00292">
      <w:pPr>
        <w:rPr>
          <w:rFonts w:ascii="Arial" w:hAnsi="Arial" w:cs="Arial"/>
          <w:b/>
          <w:bCs/>
        </w:rPr>
      </w:pPr>
    </w:p>
    <w:p w14:paraId="23CEB7B9" w14:textId="77777777" w:rsidR="00E772C5" w:rsidRDefault="00E772C5"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B90C" w14:textId="77777777" w:rsidR="00A3134C" w:rsidRDefault="00A3134C" w:rsidP="00225AAB">
      <w:r>
        <w:separator/>
      </w:r>
    </w:p>
  </w:endnote>
  <w:endnote w:type="continuationSeparator" w:id="0">
    <w:p w14:paraId="35A385C6" w14:textId="77777777" w:rsidR="00A3134C" w:rsidRDefault="00A313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49E9" w14:textId="77777777" w:rsidR="00A3134C" w:rsidRDefault="00A3134C" w:rsidP="00225AAB">
      <w:r>
        <w:separator/>
      </w:r>
    </w:p>
  </w:footnote>
  <w:footnote w:type="continuationSeparator" w:id="0">
    <w:p w14:paraId="440F5E9E" w14:textId="77777777" w:rsidR="00A3134C" w:rsidRDefault="00A313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DF773C"/>
    <w:rsid w:val="00E14E7C"/>
    <w:rsid w:val="00E15CD8"/>
    <w:rsid w:val="00E772C5"/>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7ECB-4192-4875-AA0F-4E79EAEA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2020-03-06T13:56:00Z</dcterms:created>
  <dcterms:modified xsi:type="dcterms:W3CDTF">2020-03-14T18:17:00Z</dcterms:modified>
</cp:coreProperties>
</file>